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12 223 vom 20. März 2014</w:t>
      </w:r>
    </w:p>
    <w:p>
      <w:r>
        <w:t>VS Kantonsgericht, 2014-03-20, FR</w:t>
      </w:r>
    </w:p>
    <w:p>
      <w:r>
        <w:rPr>
          <w:b/>
        </w:rPr>
        <w:t xml:space="preserve">Quelle: </w:t>
      </w:r>
      <w:r>
        <w:t>https://mcp.opencaselaw.ch/entscheid/vs_gerichte_C1 12 223</w:t>
      </w:r>
    </w:p>
    <w:p>
      <w:r>
        <w:t>FR: VS_GERICHTE C1 12 223 du 20 mars 2014</w:t>
      </w:r>
    </w:p>
    <w:p>
      <w:r>
        <w:t>IT: VS_GERICHTE C1 12 223 del 20 marzo 2014</w:t>
      </w:r>
    </w:p>
    <w:p>
      <w:pPr>
        <w:pStyle w:val="Heading2"/>
      </w:pPr>
      <w:r>
        <w:t>Regeste</w:t>
      </w:r>
    </w:p>
    <w:p>
      <w:r>
        <w:t>C1 12 223 JUGEMENT DU 20 MARS 2014 Tribunal cantonal du Valais Cour civile I Composition : Jérôme Emonet, président ; Hermann Murmann et Dr Lionel Seeberger, juges ; Bénédicte Balet, greffière ; en la cause X_________ Sàrl, appelante et défenderesse, représentée par Maître A_________ contre Société Y_________, appelée et demanderesse, représentée par Maître B_________ (action en paiement ; bail à loyer : art. 257 ss CO) recours contre le jugement du juge de district de C_________ du 01.10.2012</w:t>
      </w:r>
    </w:p>
    <w:p>
      <w:pPr>
        <w:pStyle w:val="Heading2"/>
      </w:pPr>
      <w:r>
        <w:t>Erwägungen</w:t>
      </w:r>
    </w:p>
    <w:p>
      <w:r>
        <w:rPr>
          <w:b/>
        </w:rPr>
        <w:t>E. 3</w:t>
      </w:r>
    </w:p>
    <w:p>
      <w:r>
        <w:t>A titre préalable, il convient de qualifier le type de relation contractuelle noué entre les parties et sa durée, ainsi que ses implications sur le plan financier pour l’appelante et défenderesse, dans la mesure où l’action principale de l’appelée et demanderesse tend au paiement d’arriérés de loyers (C1 08 113).</w:t>
      </w:r>
    </w:p>
    <w:p>
      <w:r>
        <w:rPr>
          <w:b/>
        </w:rPr>
        <w:t>E. 3.1.1</w:t>
      </w:r>
    </w:p>
    <w:p>
      <w:r>
        <w:t>Le bail à loyer est un contrat par lequel le bailleur s'oblige à céder l'usage d'une chose au locataire, moyennant un loyer (art. 253 CO). La pratique connaît en matière commerciale, en particulier pour les cafés-restaurants et pour les centres commerciaux, des baux dont le loyer est proportionnel au chiffre d’affaires du locataire. Au-delà d’un montant minimum, le loyer fluctue en fonction de la marche du commerce. En règle générale, le locataire est tenu de remettre ses comptes une fois l’an, ou une fois par semestre, au bailleur, qui réajuste le montant dû en fonction des résultats obtenus, sur la base d’un pourcentage convenu entre les parties. Ces contrats sont parfois dénommés « baux partiaires » (Lachat, Le bail à loyer, Lausanne 2008 [cité ci-après : Lachat, Le bail], n. 10.1.1 ad chap. 19, p. 499 ; cf. ég.</w:t>
      </w:r>
    </w:p>
    <w:p>
      <w:r>
        <w:t>- 23 - Knoepfler/Ruedin, Regard circulaire sur le droit du bail commercial, in 13e Séminaire sur le droit du bail, Neuchâtel 2004, p. 21 s.).</w:t>
      </w:r>
    </w:p>
    <w:p>
      <w:r>
        <w:rPr>
          <w:b/>
        </w:rPr>
        <w:t>E. 3.1.2</w:t>
      </w:r>
    </w:p>
    <w:p>
      <w:r>
        <w:t>Les parties ont toujours la possibilité de mettre un terme en tout temps au contrat de bail qui les unit, par une décision commune appelée convention de résiliation (Bohnet/Dietschy, in Bohnet/Montini [éd.], Droit du bail à loyer, Commentaire pratique, Bâle 2010, n. 3 ad art. 266 CO). Un tel accord constitue, par application analogique de l'art. 115 CO, un contrat de disposition dont la validité ne dépend pas du respect d'une forme spéciale (ATF 95 II 419 consid. 2d; arrêt 4C.167/2002 du</w:t>
      </w:r>
    </w:p>
    <w:p>
      <w:r>
        <w:rPr>
          <w:b/>
        </w:rPr>
        <w:t>E. 3.2</w:t>
      </w:r>
    </w:p>
    <w:p>
      <w:r>
        <w:t>; arrêt 4A_307/2011 du 16 décembre 2011, in RSPC 2012, p. 295 ; Weber, op. cit., n. 5 ad art. 274d CO). Ce sont la requête du demandeur et la prise de position du défendeur qui déterminent le cadre du débat (Lachat, Le bail, n. 3.3.3 ad chap 5, p. 160). 5.2 Dans le cas particulier, la cause, introduite les 3 (C1 08 113) respectivement 7 (C1 08 120) juillet 2008, était soumise en première instance à la procédure accélérée des art. 300 ss CPC/VS, correspondant en Valais à la procédure « simple et rapide » dictée par le droit fédéral en vertu de l’art. 274d al. 3 CO. Conformément à l’art. 301 al. 1 CPC/VS, l’instance était introduite par mémoire comportant un exposé des faits, l’énoncé précis des principes de droit sur lesquels la demande est fondée ainsi que l’énumération de tous les moyens de preuve et les conclusions prises. En vertu du droit fédéral, la cause n’était certes pas soumise à la maxime des débats pure instituée par l’art. 66 al. 1 CPC/VS, permettant au juge de ne tenir compte que des seuls faits régulièrement allégués en procédure. Il n’en demeure pas moins que, même dans les litiges soumis comme en l’espèce à la maxime inquisitoire sociale – atténuée lorsque les parties sont assistées d’un mandataire professionnel (cf. Dietschy, note in RSPC 2010, p. 15 et les arrêts cités) –, il incombe aux parties d’exposer l’objet du litige et de définir, par des conclusions, le cadre du débat. Or, dans le cas particulier, force est d’observer à la lecture du mémoire-demande du 7 juillet 2008 (C1 08 120), respectivement de son mémoire-réponse du 19 août 2008 (C1 08 113), que l’appelante a prétendu à l’allocation d’une indemnité pour la plus-</w:t>
      </w:r>
    </w:p>
    <w:p>
      <w:r>
        <w:t>- 33 - value apportée aux locaux par les aménagements entrepris (cf. art. 260a CO), respectivement à la constatation de la nullité du contrat pour cause de dol (art. 28 CO) et d’erreur essentielle (art. 23-24 CO) lors de la conclusion du contrat, mais n’a jamais indiqué, même en substance, avoir exigé une diminution de loyer. L’appelante ne peut par ailleurs rien tirer en sa faveur des pièces 5 ss annexées à sa demande supposées « val[oir] avis des défauts de la chose louée » (cf. appel, ch. 23, p. 8 [sommet]). Ces pièces, correspondant aux courriers envoyés les 25 et 30 mai 2007 par l’appelante, respectivement sa fiduciaire, ne constituent pas des déclarations unilatérales de volonté tendant à la diminution du loyer en raison de l’existence de prétendus défauts, mais seulement une demande de renégociation du loyer du fait que le chiffre d’affaires réalisé ne correspondait pas à celui initialement escompté. La conclusion tendant au rejet de l’action en paiement de l’appelée et demanderesse (C1 08 113), par compensation avec la propre créance articulée par l’appelante et défenderesse à concurrence de 109'888 fr.45 en indemnisation des travaux réalisés (C1 08 120) ne peut en conséquence s’appuyer sur l’art. 259d CO. Il en va de même pour l’action en dommages-intérêts prévue par l’art. 259e CO, dans la mesure où il a été arrêté en fait que les pertes subies par l’appelante étaient le résultat du manque d’attractivité du café, avec ou sans fenêtres (cf. supra, consid. 2.5.2), soit une circonstance dont la bailleresse n’a pas à répondre. La condition du lien de causalité, nécessaire à l’accueil de toute action en dommages-intérêts, n’est donc pas remplie. 6. L’appelante reproche enfin à la juridiction inférieure d’avoir rejeté sa prétention en indemnité fondée sur l’art. 260a al. 3 CO. De son point de vue, c’est à tort que le premier juge a retenu que, puisque la locataire avait elle-même mis fin au contrat de manière anticipée en 2007 essentiellement pour des raisons économiques, alors que l’amortissement des installations devait se faire sur toute la durée du bail courant jusqu’au 31 décembre 2011, l’intéressée ne pouvait se prévaloir du versement d’une indemnité (cf. jugement entrepris, consid. 7.2, p. 15). D’après l’appelante, cette motivation fait en outre bien peu de cas du fait que la bailleresse a, postérieurement à la libération des locaux, pu en tirer un profit conséquent (cf. appel, ch. 24, p. 8 s.). 6.1 Aux termes de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w:t>
      </w:r>
    </w:p>
    <w:p>
      <w:r>
        <w:t>- 34 - peut exiger une indemnité pour cette plus-value; sont réservées les conventions écrites prévoyant des indemnités plus élevées (al. 3). 6.1.1 Lorsque le locataire loue des locaux nus à charge pour lui d’en terminer les aménagements (Rohmiete ; cf. supra, consid. 4.1.1), il ne s’agit pas de modifications ou de rénovations au sens de l’art. 260a CO (Burkhalter/Martinez-Favre, op. cit., n. 57 ad art. 260-260a CO ; Aubert, op. cit., n. 10 ad art. 260a CO ; Knoepfler/Ruedin, op. cit., p. 9). Les parties en ont d’ordinaire tenu compte dans la fixation du loyer. Si tel est bien le cas, le locataire n’a en principe droit à aucune indemnité à la fin du bail ; son investissement a déjà été pris en compte dans la fixation du loyer (Lachat, op. cit., n. 4.3 ad chap. 32, p. 832 ; Higi, op. cit., n. 4 ad art. 260a CO). En revanche, si le loyer ne tient pas clairement compte des frais exposés par le locataire pour aménager les locaux, son droit à une indemnité demeure intact selon des auteurs de doctrine (Lachat, Le bail, loc. cit. et la réf. à l’arrêt cantonal in ZMP 2003 no 6 [indemnisation fondée sur l’art. 256 CO, du fait que la mise à disposition de la chose dans le but contractuellement prévu appartient aux devoirs essentiels du bailleur] ; dans le même sens, cf. Zanetti, Ausgewählte Aspekte der Rohbaumiete, in mp 2011 p. 89 ss, p. 98 ; Weber, op. cit., n. 2 ad art. 260a CO ; en faveur en revanche d’une application analogique de l’art. 260a al. 3 CO, cf. Permann, op. cit., p. 1528). Lorsque les locaux sont livrés nus, il est essentiel pour les parties de prévoir une règlementation précise. En particulier, si le loyer ne tient pas compte de l’investissement du locataire, il faut prévoir le paiement d’une indemnité par le bailleur à la fin du bail et en définir le mode de calcul (Lachat, Le bail, n. 4.3 ad chap. 32 et note de pied 46, p. 832 ; cf. ég. Zanetti, op. cit., p. 101). Le dédommagement peut consister à ce que le locataire se voit rembourser directement les frais, ou, indirectement, voit son loyer réduit ; une solution mixte est évidemment également envisageable (Zanetti, op. cit., p. 100 et la référence). Seuls les aménagements qui vont au-delà de ce qui est prévu contractuellement tombent à nouveau sous le coup de l’art. 260a CO et sont alors considérés comme des modifications/rénovations (Burkhalter/Martinez-Favre, loc. cit. ; cf. ég. Permann, op. cit., p. 1530 ; Knoepfler/Ruedin, op. cit., p. 9). 6.1.2 L'art. 260a al. 3 CO est de droit dispositif (ATF 124 III 149 consid. 4 et 5). Ainsi, les parties peuvent convenir à l'avance d'une indemnité plus élevée que ne l'exige la disposition, ou au contraire supprimer toute indemnité (arrêt 4C.97/2005 du 18 août 2005 consid. 2.2 in fine, in MRA 1/06, p. 24 s.; Burkhalter/Martinez-Favre, op. cit., n. 83 ad art. 260-260a CO; Aubert, op. cit., n. 29 ad art. 260a CO).</w:t>
      </w:r>
    </w:p>
    <w:p>
      <w:r>
        <w:t>- 35 - La plus-value correspond à la valeur ajoutée à la chose louée, non encore amortie à la fin du bail. Elle s'apprécie objectivement, eu égard aux frais exposés par le locataire, et à l'utilité des travaux pour le bailleur (arrêt 4C.97/2005 précité consid. 2.4 ; Lachat, in Commentaire romand, Code des obligations I, 2e éd. 2012 [cité ci-après: Lachat, CR- CO I], n. 7 ad art. 260a CO; Higi, op. cit., n. 51 ad art. 260a CO). Le fardeau de la preuve de la plus-value apportée appartient au locataire (Higi, op. cit., n. 62 ad art. 260a CO). L'art. 260a al. 3 CO subordonne le droit à une indemnité au caractère considérable de la plus-value, lequel dépend de l'ensemble des circonstances, dont notamment le coût des travaux, le loyer payé par le locataire et les avantages dont le bailleur pourra tirer profit (arrêts du Tribunal fédéral 4C.18/2006 du 29 mars 2006 consid. 3.1.1, in CdB 2007, p. 16 ; 4C.97/2005 précité consid. 2.4; Lachat, CR-CO I, n. 8 ad art. 260a CO; plus nuancé sur les circonstances à prendre en considération, cf. Higi, op. cit., n. 57 ss ad art. 260a CO). Quant à l'indemnité, elle ne se mesure pas nécessairement à l'aune de la plus-value qui subsiste. Elle peut être modulée en fonction des particularités du cas d'espèce (arrêt 4C.97/2005 précité consid. 2.4 ; Barbey, Les travaux de rénovation et de modification de la chose louée entrepris par le locataire [art. 260a CO], in 10e Séminaire sur le droit du bail, Neuchâtel 1998, p. 15; Higi, op. cit., n. 66 ad art. 260a CO). La quotité de la somme pourra ainsi varier en fonction des critères suivants: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(arrêt 4C.97/2005 précité consid. 2.4; Barbey, op. cit., p. 15 s.; Higi, op. cit., n. 67 ss ad art. 260a CO). Ce dernier point revêt notamment de l'importance lorsque le bail est résilié par anticipation en raison d'une faute du bailleur ou du locataire, et probablement aussi en cas de congé pour juste motif lié à la personne de l'un des cocontractants. Ainsi, il conviendrait de réduire l'indemnité allouée au preneur en cas de congé signifié sur la base de l'art. 257d CO (arrêt 4C.97/2005 précité consid. 2.6 in fine; Barbey, op. cit., p. 16 et note de bas de page 64, p. 16), voire même d’exclure tout dédommagement pour l’amortissement lors d’une restitution anticipée au sens de l’art. 264 CO (arrêt 4C.269/2005 du 16 novembre 2006 consid. 7, in MRA 5/07, p. 169 ss ; Aubert, op. cit., n. 38 in fine ad art. 260a CO).</w:t>
      </w:r>
    </w:p>
    <w:p>
      <w:r>
        <w:t>- 36 - Selon les circonstances, l'indemnité doit être appréciée en équité par le juge (arrêts 4C.18/2006 précité consid. 3.1.1 ; 4C.393/2002 du 27 mai 2003 consid. 6.3, in mp 2004, p. 144 s.; Lachat, CR-CO I, n. 8 ad art. 260a CO; Weber, op. cit., n. 5 ad art. 260a CO). 6.2</w:t>
      </w:r>
    </w:p>
    <w:p>
      <w:r>
        <w:t>6.2.1 En l’espèce, le contrat venu à chef le 5 décembre 2006 portait sur la cession, pour la période d’un peu plus de 5 ans courant du 22 décembre 2006 au 31 décembre 2011, de locaux nus (cf. art. 12). Les aménagements intérieurs entrepris par la locataire – tels que constatés par l’expert (cf. supra, consid. 2.3) – étaient nécessaires pour l’utilisation des locaux conformément à leur destination (cf. art. 256 CO), à savoir pour servir de tea-room et de kiosque. Les aménagements en question ne constituent ainsi pas des modifications ou de rénovations au sens de l’art. 260a CO. Le contrat prévoyait, sous son ch. 14, l’obligation pour la locataire « d’enlever le mobilier lui appartenant » (ou d’en assumer le paiement des frais), mais non le versement par la bailleresse d’une indemnité pour les aménagements fixes effectués ; une telle prestation n’était toutefois pas expressément exclue. On l’a vu (cf. supra, consid. 4.1.2), pour qu’une convention de Rohbaumiete ne contrevienne pas à l’art. 256 al. 2 CO, le locataire doit pouvoir bénéficier, en contrepartie des aménagements qu’il a réalisés en lieu et place du bailleur, tantôt d’un loyer plus modique tantôt d’un dédommagement à la fin du bail. Pour prétendre à une telle indemnité, l’appelante aurait donc dû établir que le montant du loyer convenu, tributaire en partie du chiffre d’affaires qu’elle avait annoncé pouvoir réaliser lors des pourparlers contractuels (cf. bail partiaire), ne tenait pas déjà compte du montant des investissements consentis pour réaliser les aménagements fixes – soit 97'782 fr.50 (valeur à neuf ; cf. rapport d’expertise, supra, consid. 2.3) – et de leur amortissement, à tout le moins partiel (cf. valeur « actuelle » [au 31 janvier 2011] de 78'226 fr. d’après le rapport d’expertise), pour la durée du contrat sur un peu plus de 5 ans. Bien qu’il ait été indiqué que le loyer convenu avec l’appelante avait été déterminé « en fonction de [celui] pratiqué pour les autres kiosques ainsi que pour des restaurants privés exploités dans certains des centres Y_________ » (cf. supra, consid. 2.3), aucun chiffre n’a été articulé et l’expertise n’a apporté aucun élément de réponse, si bien que l’on ignore en définitive si le loyer a, en comparaison d’autres locaux semblables, été fixé plus bas afin de tenir compte du coût des travaux effectués par la locataire pour rendre les lieux utilisables conformément à leur destination convenue. Inversement, il a à tout le moins été établi que le montant du loyer convenu, sur la base des chiffres d’affaires réalisables de 650'000 fr. pour le café et de 260'000 fr. pour le kiosque, était « économiquement</w:t>
      </w:r>
    </w:p>
    <w:p>
      <w:r>
        <w:t>- 37 - supportable », donc non surfait (cf. supra, consid. 2.3). Le droit à une indemnité fondée sur l’art. 260a CO (voire 256 CO selon les auteurs de doctrine) doit par conséquent être réfuté. 6.2.2 Même à supposer que les dispositions qui précèdent aient pu trouver application, l’autorité de première instance n’a pas violé le droit fédéral en refusant toute indemnisation. En effet, selon la version des faits retenue par la Cour de céans, l’appelante a accepté, en raison de son mauvais chiffre d’affaires par rapport aux prévisions faites, de mettre fin de manière anticipée au contrat avec effet le</w:t>
      </w:r>
    </w:p>
    <w:p>
      <w:r>
        <w:rPr>
          <w:b/>
        </w:rPr>
        <w:t>E. 8</w:t>
      </w:r>
    </w:p>
    <w:p>
      <w:r>
        <w:t>octobre 2002 consid. 2.4.2; Higi, Zürcher Kommentar, n. 17-18 ad art. 255 CO et n. 12 ss ad Vorbemerkungen zu Art. 266-266o CO; Weber, in Basler Kommentar, Obligationenrecht I, 5. Aufl. 2011, n. 2 ad art. 255 CO).</w:t>
      </w:r>
    </w:p>
    <w:p>
      <w:r>
        <w:rPr>
          <w:b/>
        </w:rPr>
        <w:t>E. 8.1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consid. 9 du jugement entrepris), les frais de première instance, fixés conformément aux dispositions applicables (art. 13, 16 al. 1 LTar : de 4500 fr. à 15'000 fr. lorsque la valeur litigieuse oscille entre 100'001 fr. et 200'000 fr.) à 20’500 fr. (9616 fr.20 [émolument de justice] + 100 fr. [débours huissier] + 10'525 fr. [débours expertise] + 242 fr. [indemnités témoins] + 16 fr.80 [frais de déplacement pour l’inspection de lieux]), sont mis à la charge de l’appelante, qui succombe, et versera à l’appelée 6150 fr. à titre de remboursement d’avance – le solde de 5350 fr. lui étant restitué par le greffe – et 15'000 fr. à titre de dépens.</w:t>
      </w:r>
    </w:p>
    <w:p>
      <w:r>
        <w:rPr>
          <w:b/>
        </w:rPr>
        <w:t>E. 8.2</w:t>
      </w:r>
    </w:p>
    <w:p>
      <w:r>
        <w:t>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arrêtés à 2500 fr. (art. 16 et 19 LTar), sont mis à la charge de l’appelante, qui succombe (art. 106 al. 1 CPC), supporte ses propres frais d’intervention en justice et versera à l’appelée – compte tenu notamment de l’activité utilement déployée par son conseil en instance d’appel, qui a consisté en la rédaction et l’envoi d’une réponse motivée en faits et en droit de 7 pages, et des autres critères susexposés – de 4000 francs.</w:t>
      </w:r>
    </w:p>
    <w:p>
      <w:r>
        <w:t>- 39 -</w:t>
      </w:r>
    </w:p>
    <w:p>
      <w:r>
        <w:t>Prononce</w:t>
      </w:r>
    </w:p>
    <w:p>
      <w:r>
        <w:t>L’appel est rejeté ; en conséquence, il est statué : 1. X_________ Sàrl versera à Société Y_________ le montant de 44'231 fr.40, avec intérêt moratoire au taux de 5% l’an dès le 1er mai 2007. 2. La garantie de loyer déposée par X_________ Sàrl sur le compte no xxx auprès de la Banque F_________ sera libérée en faveur de Société Y_________ et portée en déduction du montant arrêté sous ch. 1 du présent jugement, une fois celui-ci entré en force. 3. Toutes autres ou plus amples conclusions sont rejetées. 4. Les frais de première instance, par 20'500 fr., sont mis à la charge de X_________ Sàrl, qui versera à Société Y_________ le montant de 6150 fr. à titre de remboursement d’avance ainsi qu’une indemnité de 15'000 fr. à titre de dépens. 5. Les frais d’appel, par 2500 fr., sont mis à la charge de X_________ Sàrl, qui supporte ses frais d’intervention en justice et versera à Société Y_________ une indemnité de 4000 fr. à titre de dépens. Ainsi jugé à Sion, le 20 mars 2014.</w:t>
      </w:r>
    </w:p>
    <w:p>
      <w:r>
        <w:rPr>
          <w:b/>
        </w:rPr>
        <w:t>E. 13</w:t>
      </w:r>
    </w:p>
    <w:p>
      <w:r>
        <w:t>juillet 2005 consid. 1.5 ; ATF 102 II 81 consid. 2). Le champ du dol englobe toute la motivation contractuelle, sans distinction entre erreur essentielle ou non essentielle. Le dol sur des faits futurs mérite une attention particulière. Des faits incertains ou risqués ne peuvent être objets ni d’erreur ni de dol. En revanche, un acte dolosif concernant des faits futurs doit être réglé de la même manière que l’erreur sur les faits futurs (Schmidlin, op. cit., n. 15-16 ad art. 28 CO et infra, consid. 4.1.4). Savoir dans quelles circonstances se sont déroulés les pourparlers, respectivement la conclusion du contrat, et s'il y a eu comportement trompeur de la part d'une partie relève des constatations de fait (arrêts 4A_217/2009 du 3 novembre 2009 consid. 2.4; 4C.227/2003 du 9 décembre 2004 consid. 5.3.1). Tout dol présuppose un acte intentionnel ; un comportement même gravement négligent de la part du cocontractant</w:t>
      </w:r>
    </w:p>
    <w:p>
      <w:r>
        <w:t>- 28 - ne peut être assimilé au dol : la victime doit alors se contenter d’invalider le contrat pour erreur (Schmidlin, op. cit., n. 19-20 ad art. 28 CO). Il incombe à celui qui invoque un dol pour échapper aux conséquences d'un acte juridique d'apporter la preuve qu'il y a eu tromperie et que celle-ci l'a déterminé à contracter, en tant que condition sine qua non (cf. ATF 129 III 320 consid. 6.3; arrêts 4A_641/2010 du 23 février 2011 consid. 3.4.1, in SJ 2011 I p. 322 ss ; 4A_217/2009 précité consid. 2.4; Schmidlin, op. cit., n. 49 et 61 [condition sine qua non] ad art. 28 CO; Schwenzer, op. cit., n. 26 ad art. 28 CO; Kummer, Berner Kommentar, n. 292 ad art. 8 CC). 4.1.4 Il y a erreur lorsqu'une personne, en se faisant une fausse représentation de la situation, manifeste une volonté qui ne correspond pas à celle qu'elle aurait exprimée si elle ne s'était pas trompée. Savoir si une personne, au moment de passer un acte juridique, se trouvait dans l'erreur est une question de fait (ATF 134 III 643 consid. 5.3.1; 118 II 58 consid. 3a). Nul ne peut invalider un acte juridique sur la base des art. 23 ss CO si, en réalité, il n'était pas dans l'erreur (ATF 128 III 70 consid. 1b). Il incombe à celui qui invoque une erreur pour échapper aux conséquences d'un acte juridique d'apporter la preuve que ses représentations internes étaient erronées (arrêt 4A_217/2009 précité consid. 2.4; Schmidlin, op. cit., n. 61 ad art. 23-24 CO; Schwenzer, op. cit., n. 12 ad art. 23 CO). Selon l'art. 23 CO, le contrat n'oblige pas celle des parties qui, au moment de conclure, était dans une erreur essentielle. Il ressort de l'art. 24 al. 1 ch. 4 CO que l'erreur est essentielle notamment lorsqu'elle porte sur des faits que la loyauté commerciale permettait à celui qui se prévaut de son erreur de les considérer comme des éléments nécessaires du contrat. Pour que ce cas d'erreur essentielle soit réalisé,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132 III 733 consid. 1.4; 129 III 363 consid. 5.3). En d’autres termes, celui qui se prévaut de son erreur doit s'être trompé sur un fait déterminé touchant, pour lui, à la base nécessaire du contrat (notwendige Grundlage); ce fait doit avoir exercé une influence décisive sur la volonté de conclure du déclarant qui, sans cette circonstance, n'aurait pas passé le contrat ou, en tout cas, pas à ces conditions (arrêt 4A_408/2007 du 7 février 2008 consid. 3.2 ; Schmidlin, op. cit., n. 40 ad art. 23-24 CO; Gauch/Schluep/Schmid/Rey, Schweizerisches Obligationenrecht, Band I, 8. Aufl. 2003, n. 779, p. 158; Engel, Traité des obligations en droit suisse, 2e éd. 1999, p. 328 s.).</w:t>
      </w:r>
    </w:p>
    <w:p>
      <w:r>
        <w:t>- 29 - Selon la jurisprudence, un cocontractant ne peut invoquer un fait déterminé comme condition sine qua non du contrat lorsqu'il ne s'est pas préoccupé, au moment de conclure, d'éclaircir une question qui se posait manifestement en rapport avec ce fait (ATF 129 III 363 consid. 5.3; 117 II 218 consid. 3b). L'erreur essentielle de l'art. 24 al. 1 ch. 4 CO peut porter sur un fait (ou un événement) futur, mais seulement si, lors de la conclusion du contrat, ce fait pouvait objectivement être tenu pour certain; l'erreur est au contraire exclue lorsque le fait futur était expectatif ou aléatoire (arrêts 4A_641/2010 précité consid. 3.5.2 ; 4A_595/2008 du 20 mars 2009 consid. 4; ATF 118 II 297 consid. 2c; Schmidlin, op. cit., n. 35-37 ad art. 23-24 CO; Schwenzer, op. cit., n.18-19 ad art. 24 CO). 4.2</w:t>
      </w:r>
    </w:p>
    <w:p>
      <w:r>
        <w:t>4.2.1 En l’espèce, le contrat signé le 5 décembre 2006 portait sur la remise à bail à l’appelante et défenderesse de locaux « nus » destinés à l’exploitation d’un tea-room ou café et d’un kiosque (cf. supra, consid. 2.2). La locataire pouvait donc, même en l’absence de qualité promise, s’attendre à ce que les locaux, une fois les aménagements intérieurs à sa charge effectués (cf. art. 12 du contrat), lui permettraient d’exploiter notamment le tea-room dans le respect des prescriptions administratives, notamment celles relatives à la protection de la santé et du bien-être des travailleurs. En ce sens, le manque de luminosité naturelle résultant du fait que les fenêtres (pré)existantes avaient été obturées à la suite de l’opposition formée par l’administrateur de l’immeuble Q_________ (cf. supra, consid. 2.4.2.1) est susceptible d’être qualifié de défaut grave lors de la remise des locaux, conférant à la locataire les droits prévus à l’art. 258 CO, renvoyant lui-même aux art. 107 à 109 CO. Loin de se départir du contrat, l’appelante qui, dans tous les cas a nécessairement dû se rendre compte de l’obstruction des fenêtres au plus tard lors de l’entrée en possession des locaux (cf. supra, consid. 2.4.2.3), a accepté ceux-ci et n’a réagi à l’égard de la bailleresse, par écrit du moins, qu’au mois de mai 2007, remettant en question le montant du loyer, du fait que le chiffre d’affaires déterminant celui-ci n’était pas conforme aux prévisions (cf. supra, consid. 2.4.2.2). Ce n’est en définitive que par courrier du 21 septembre 2007 – soit un peu plus de 10 mois après la signature du contrat, le 5 décembre 2006, et la prise de possession des locaux –, que l’appelante a, par la plume de son avocat, déclaré qu’aucune solution conventionnelle ne serait trouvée et s’est prévalue de la « nullité au sens de l’art. 20 al. 1 CO » (cf. supra, consid. 2.6), à teneur duquel « le contrat est nul s’il a pour objet une chose impossible, illicite ou contraire aux mœurs », ce qui ne signifie pas encore qu’il y ait eu vice de la</w:t>
      </w:r>
    </w:p>
    <w:p>
      <w:r>
        <w:t>- 30 - volonté lors de la conclusion du contrat. En demandant à la bailleresse, après avoir convenu avec elle la résiliation anticipée du rapport de bail avec effet le 15 novembre 2007, une indemnité pour les aménagements effectués sur les locaux « nus », l’appelante a ratifié le contrat et ne pouvait plus se prévaloir de sa nullité pour vices de la volonté (cf. supra, consid. 4.1.2). Le premier grief de l’appelante est donc infondé. 4.2.2 L’appelante n’a pas davantage démontré que la bailleresse l’avait dolosivement (art. 28 CO) amenée à conclure le contrat, en lui promettant, contrairement à la réalité, d’une part, la venue d’autres commerces à proximité – circonstance propre à attirer de la clientèle au tea-room et au kiosque – et, d’autre part, l’ouverture immédiate des fenêtres indiquées sur les plans, mais obturées. Il a en effet été circonscrit en fait, s’agissant du premier aspect, que la bailleresse n’avait fourni aucune assurance concernant l’ouverture d’autres commerces dans le Q_________, elle-même ne sachant alors pas encore qui allait venir (cf. supra, consid. 2.4.1.2). Il s’agissait donc de faits futurs et incertains, pour lesquels l’appelante pouvait tout au plus nourrir des espérances, de sorte que l’invalidation pour dol – ou pour erreur essentielle – n’est pas envisageable. Quant au second point, il a été arrêté en fait qu’il ne pouvait être reproché à la bailleresse d’avoir, lors des négociations ayant abouti à la signature du contrat de bail, sciemment tu les problèmes rencontrés concernant l’ouverture des fenêtres existantes, mais obturées, ni d’avoir fourni une quelconque assurance sur ce point (cf. supra, consid. 2.4.2.3). Le devoir d’information de la bailleresse était d’autant plus restreint que la seule visite des lieux permettait de se rendre compte que les fenêtres étaient alors fermées. L’appelante a en conséquence échoué à démontrer avoir été victime de tromperies intentionnelles de la part de la bailleresse, et que celles-ci l’aient déterminée à conclure le contrat dans les termes convenus. Les conditions d’application de l’art. 28 CO n’étant pas réunies, le contrat ne peut en conséquence être invalidé pour cause de dol. Le moyen de l’appelante est donc sans consistance. 4.2.3 Enfin, l’appelante s’est, « pour le cas où le dol ne serait pas retenu » (cf. appel, ch. 22, p. 6), plainte d’avoir été victime d’une erreur essentielle au sens de l’art. 24 CO. L’intéressée ne peut toutefois bénéficier de cette disposition, dans la mesure où il a été arrêté en fait que la question de la venue d’autres commerces et de l’ouverture des fenêtres obturées n’avait réellement préoccupé l’appelante que bien après la signature du contrat, soit en mai 2007 (cf. supra, consid. 2.4.2.3), alors que son chiffre d’affaires était au plus bas principalement du fait du manque d’attractivité du café, indépendamment de l’ouverture ou non des fenêtres (cf. supra, consid. 2.5.2). L’arrivée</w:t>
      </w:r>
    </w:p>
    <w:p>
      <w:r>
        <w:t>- 31 - d’autres commerces et l’ouverture des fenêtres – effectivement désobturées en automne 2007 (cf. supra, consid. 2.4.2.1) – ne constituent ainsi pas une condition sine qua non pour la conclusion du contrat de bail. Le grief tiré de la prétendue violation des art. 23 s. CO doit donc être écarté. 4.2.4 En résumé, il n’existe aucun motif d’invalider le contrat de bail à loyer signé le 5 décembre 2006. 5. Dans son écriture d’appel, la locataire s’est, « en tant que de besoin », prévalue pour la première fois en procédure d’une réduction du loyer (art. 259d CO) et/ou de dommages-intérêts (art. 259e CO), à concurrence du montant de 109'888 fr.45 réclamé initialement « sur une autre base juridique (l’art. 260a al. 3 CO), dans ses conclusions du 9 janvier 2012 » (cf. appel, ch. 23, p. 7 s.). 5.1 5.1.1 Aux termes de l’art. 259d CO, si le défaut entrave ou restreint l'usage pour lequel la chose a été louée, le locataire peut exiger du bailleur une réduction proportionnelle du loyer à partir du moment où le bailleur a eu connaissance du défaut et jusqu'à l'élimination de ce dernier. Selon une partie de la doctrine, la réduction de loyer est un droit formateur, qui se concrétise par une déclaration unilatérale du locataire, sans que celui-ci ne doive nécessairement s’adresser au juge dans le cadre d’une action formatrice (Higi, op. cit., n. 21 ss ad art. 259d CO; Züst, Die Mängelrechte des Mieters von Wohn- und Geschäftsräumen, Diss. St.Gallen 1992, p. 182 ss ; Aubert, op. cit., n. 3 ad art. 259d CO; contra Weber, op. cit., n. 3 ad art. 259d CO; pour un aperçu des avis de doctrine, sans trancher la question, cf. ATF 130 III 504 consid. 5.1). Par ailleurs, l’art. 259e CO dispose que si, en raison du défaut, le locataire a subi un dommage, le bailleur lui doit des dommages-intérêts s'il ne prouve qu'aucune faute ne lui est imputable. 5.1.2 Aux termes de l'ancien art. 274d al. 3 CO, le juge établit d'office les faits et apprécie librement les preuves; les parties sont tenues de lui présenter toutes les pièces nécessaires à l'appréciation du litige. Cette disposition est applicable aux procédures en cours à l'entrée en vigueur du CPC le 1er janvier 2011 (art. 404 al. 1 CPC; arrêt 4A_612/2012 du 19 février 2013 consid. 2.1 ; actuellement, art. 247 al. 1 et 2 let. a CPC qui instaure, comme l'ancien art. 274d al. 3 CO, une maxime inquisitoire sociale, notamment dans les litiges en rapport avec un bail à loyer [cf. art. 243 al. 2 let. c CPC]). Selon la jurisprudence relative à l'ancien art. 274d al. 3 CO, la maxime inquisitoriale sociale ne constitue pas une maxime officielle absolue. Le juge ne doit</w:t>
      </w:r>
    </w:p>
    <w:p>
      <w:r>
        <w:t>- 32 -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(ATF 136 III 74 consid. 3.1; 125 III 231 consid. 4a).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(ATF 125 III 231 consid. 4a; arrêts 4C.65/2002 du 31 mai 2002 consid. 2b, in DB 2003 no 21 ; 4C.199/2000 du 21 décembre 2000 consid. 2a, in SJ 2001 I p. 278). Au surplus, la maxime inquisitoire sociale ne modifie pas la répartition du fardeau de la preuve (arrêts 4C.185/2003 du 14 octobre 2003 consid. 2.1 ; 4P.297/2001 du 26 mars 2002 consid. 2a). Les plaideurs demeurent maîtres du litige: il leur incombe d’en définir la portée (cf. maxime de disposition ; ATF 134 III 151 consid.</w:t>
      </w:r>
    </w:p>
    <w:p>
      <w:r>
        <w:rPr>
          <w:b/>
        </w:rPr>
        <w:t>E. 15</w:t>
      </w:r>
    </w:p>
    <w:p>
      <w:r>
        <w:t>novembre 2007, soit moins d’une année après le début du contrat, alors que celui-ci était censé perdurer jusqu’au 31 décembre 2011, et devait permettre d’amortir, en partie à tout le moins, les aménagements réalisés. Outre les circonstances à la base de la fin du contrat, il y a également lieu de tenir compte du fait que, contrairement à l’opinion de l’appelante, la bailleresse n’a tiré aucune plus-value considérable des installations fixes réalisées par la locataire. D’une part, la bailleresse n’a pas tiré profit des aménagements en question, puisque le loyer convenu avec le nouveau locataire (cf. I_________) a même été revu à la baisse (cf. supra, consid.2.5.1). D’autre part, à la suite du fiasco rencontré également par le successeur dans l’exploitation d’un café ou tea-room, la bailleresse a dû envisager d’autres concepts, où les installations sur mesure effectuées par l’appelante (par exemple les bancs) ne sont d’aucune utilité (cf. supra, consid. 2.8). L’existence d’une plus-value considérable doit en conséquence être réfutée. 6.2.3 Pour l’ensemble de ces motifs, l’appelante ne peut que se voir débouter de ses conclusions en paiement d’une indemnité (C1 08 120), respectivement de son objection de compensation de dite indemnité (art. 120 CO) avec les propres prétentions de l’appelée en règlement des arriérés de loyers (C1 08 113). Il s’ensuit le rejet intégral de l’appel et la confirmation du jugement de première instance. 7.</w:t>
      </w:r>
    </w:p>
    <w:p>
      <w:r>
        <w:t>7.1 La constitution de sûretés au sens de l’art. 257e CO – qui est de droit impératif – relève de la liberté contractuelle des parties et n’est pas imposée par la loi. Lorsque les parties s’accordent sur la constitution de telles sûretés, le législateur a limité la liberté contractuelle, en prévoyant notamment une obligation de consignation du bailleur (cf. ATF 127 III 273 consid. 4c/bb ; Higi, op. cit., n. 24 ad art. 257e CO) et les modalités de restitution de la garantie (Marchand, in Bohnet/Montini [éd.], Droit du bail à loyer,</w:t>
      </w:r>
    </w:p>
    <w:p>
      <w:r>
        <w:t>- 38 - Commentaire pratique, Bâle 2010, n. 2-3 ad art. 257e CO). A cet égard, l’art. 257e al. 3, 1re phrase, CO, dispose que la banque ne peut restituer les sûretés qu'avec l'accord des deux parties ou sur la base d'un commandement de payer non frappé d'opposition ou d'un jugement exécutoire. Celui-ci doit comporter une condamnation pécuniaire du locataire pour une créance garantie par les sûretés (Marchand, op. cit., n. 35 ad art. 257e CO), soit une créance que possède le bailleur envers son locataire en vertu de leur relation contractuelle (Burkhalter/Martinez-Favre, op. cit., n. 24 ad art. 257e CO). 7.2 Eu égard aux considérations qui précèdent, et au fait que l’appelante est redevable en vertu du contrat signé le 5 décembre 2006 de la somme de 44'231 fr.40, avec intérêts moratoires au taux de 5% l’an dès le 1er mai 2007, la garantie de loyer de 11'500 fr. déposée sur le compte no xxx ouvert auprès de F_________ sera, conformément à la conclusion no 2 prise par l’appelée et demanderesse, libérée (avec les intérêts) en faveur de celle-ci et portée en déduction du montant dû, une fois le présent jugement exécutoire. Toutes autres ou plus amples conclusions sont rejetées.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